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45" w:rsidRDefault="006F1745" w:rsidP="006F1745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de-DE" w:eastAsia="de-DE"/>
        </w:rPr>
      </w:pPr>
      <w:bookmarkStart w:id="0" w:name="bookmark0"/>
      <w:r w:rsidRPr="006F17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de-DE" w:eastAsia="de-DE"/>
        </w:rPr>
        <w:t xml:space="preserve">Die Franken unterwerfen Alamannen und Burgunder </w:t>
      </w:r>
    </w:p>
    <w:p w:rsidR="006F1745" w:rsidRDefault="002E2E3E" w:rsidP="006F1745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de-DE" w:eastAsia="de-DE"/>
        </w:rPr>
        <w:t>- das Gebiet der heutige Schweiz gehört nun zum Frankenreich</w:t>
      </w:r>
    </w:p>
    <w:p w:rsidR="006F1745" w:rsidRPr="006F1745" w:rsidRDefault="006F1745" w:rsidP="006F1745">
      <w:pPr>
        <w:rPr>
          <w:rFonts w:ascii="Times New Roman" w:eastAsia="Times New Roman" w:hAnsi="Times New Roman" w:cs="Times New Roman"/>
          <w:b/>
          <w:sz w:val="27"/>
          <w:szCs w:val="27"/>
          <w:lang w:val="de-DE" w:eastAsia="de-CH"/>
        </w:rPr>
      </w:pPr>
    </w:p>
    <w:p w:rsidR="006F1745" w:rsidRPr="006F1745" w:rsidRDefault="006F1745" w:rsidP="006F1745">
      <w:pP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Die Alamannen und die Burgunder beka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 xml:space="preserve">men bald zu spüren, dass sie neue, kriegs- und eroberungslustige Nachbarn erhalten hatten. </w:t>
      </w:r>
      <w:proofErr w:type="spellStart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Chlodwig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und seine Söhne und Enkel führten gegen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e Krieg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besiegten sie und gliederten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ihr Land dem Fränki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>schen Reich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an. </w:t>
      </w:r>
      <w:proofErr w:type="spellStart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Schliesslich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bildete auch die ganze heutige Schweiz einen Teil des </w:t>
      </w:r>
      <w:proofErr w:type="spellStart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grossen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Frankenreiches.</w:t>
      </w:r>
    </w:p>
    <w:p w:rsidR="0017602B" w:rsidRDefault="006F1745" w:rsidP="006F174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ie regierten die merowingischen</w:t>
      </w:r>
      <w:r>
        <w:rPr>
          <w:rStyle w:val="Funotenzeichen"/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footnoteReference w:id="1"/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Herr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>scher und ihre Beamten nun das Land der Alamannen? Sie teilten es in Gaue</w:t>
      </w:r>
      <w:r w:rsidR="0077031E">
        <w:rPr>
          <w:rStyle w:val="Funotenzeichen"/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footnoteReference w:id="2"/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ein: Rheingau, Thurgau, </w:t>
      </w:r>
      <w:proofErr w:type="spellStart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Zürichgau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, Aargau und Gau von </w:t>
      </w:r>
      <w:proofErr w:type="spellStart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Aventicum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  <w:r w:rsidR="002E2E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- </w:t>
      </w:r>
      <w:bookmarkStart w:id="1" w:name="_GoBack"/>
      <w:bookmarkEnd w:id="1"/>
      <w:r w:rsidR="00FE323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Ursprünglich gab es nur</w:t>
      </w:r>
      <w:r w:rsidR="0077031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den Thurgau und den Aargau. Der Thurgau wurde erst später aufgeteilt in Rheingau, </w:t>
      </w:r>
      <w:proofErr w:type="spellStart"/>
      <w:r w:rsidR="0077031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Arbongau</w:t>
      </w:r>
      <w:proofErr w:type="spellEnd"/>
      <w:r w:rsidR="0077031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und den </w:t>
      </w:r>
      <w:proofErr w:type="spellStart"/>
      <w:r w:rsidR="0077031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Zürichgau</w:t>
      </w:r>
      <w:proofErr w:type="spellEnd"/>
      <w:r w:rsidR="00B4311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Der </w:t>
      </w:r>
      <w:proofErr w:type="spellStart"/>
      <w:r w:rsidR="00B4311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Zürichgau</w:t>
      </w:r>
      <w:proofErr w:type="spellEnd"/>
      <w:r w:rsidR="00B4311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reichte damals</w:t>
      </w:r>
      <w:r w:rsidR="0077031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bis zum Säntis</w:t>
      </w:r>
      <w:r w:rsidR="00B4311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und zu den Urner Alpen</w:t>
      </w:r>
      <w:r w:rsidR="0077031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.</w:t>
      </w:r>
      <w:r w:rsidR="0077031E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Der Rheingau umfasste das heutige Vor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 xml:space="preserve">arlberg und das </w:t>
      </w:r>
      <w:proofErr w:type="spellStart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St.Galler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Rheintal vom </w:t>
      </w:r>
      <w:proofErr w:type="spellStart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Hirschensprung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bis zum alten Grenzort </w:t>
      </w:r>
      <w:proofErr w:type="spellStart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Monstein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bei Au. Dort </w:t>
      </w:r>
      <w:proofErr w:type="spellStart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liess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der </w:t>
      </w:r>
      <w:r w:rsidR="002E2E3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reiche 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Franken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 xml:space="preserve">könig Dagobert um 630 ein Mondzeichen als </w:t>
      </w:r>
      <w:proofErr w:type="spellStart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Grenzmal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in einen Felsen hauen</w:t>
      </w:r>
      <w:r>
        <w:rPr>
          <w:rStyle w:val="Funotenzeichen"/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footnoteReference w:id="3"/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. </w:t>
      </w:r>
    </w:p>
    <w:p w:rsidR="006F1745" w:rsidRPr="006F1745" w:rsidRDefault="006F1745" w:rsidP="006F1745">
      <w:pP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Jeder Gau unterstand einem Gaugrafen. Dieser hatte die Aufgabe, Gericht zu hal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>ten, die Steuern einzuziehen und die Mannschaften zum Krieg unter die Fahne der Frankenkönige aufzubieten. Er musste dafür sorgen, dass Wege und Brücken her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>gestellt und unterhalten wurden. Als Be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>soldung erhielt er ausgedehnte Lände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>reien. Die dort ansässige Bevölk</w:t>
      </w:r>
      <w:r w:rsidR="0077031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erung musste ihm und seinem Hof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die notwen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>digen Lebensmittel, Kleiderstoffe, Brenn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>holz u.a. liefern.</w:t>
      </w:r>
    </w:p>
    <w:p w:rsidR="006F1745" w:rsidRPr="006F1745" w:rsidRDefault="006F1745" w:rsidP="006F1745">
      <w:pP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Die Gaue</w:t>
      </w:r>
      <w:r w:rsidR="0017602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waren in Hundertschaften, </w:t>
      </w:r>
      <w:proofErr w:type="spellStart"/>
      <w:r w:rsidR="0017602B" w:rsidRPr="001760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de-DE"/>
        </w:rPr>
        <w:t>Hun</w:t>
      </w:r>
      <w:r w:rsidRPr="006F17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de-DE"/>
        </w:rPr>
        <w:t>tare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eingeteilt. Dort wirkte der</w:t>
      </w:r>
      <w:r w:rsidR="0017602B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</w:t>
      </w:r>
      <w:proofErr w:type="spellStart"/>
      <w:r w:rsidRPr="006F17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de-DE"/>
        </w:rPr>
        <w:t>Huno</w:t>
      </w:r>
      <w:proofErr w:type="spellEnd"/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als Stellvertreter des Gaugrafen. Alle freien Männer einer Hundertschaft versammelten sich zwei- bis dreimal</w:t>
      </w:r>
      <w:r w:rsidR="0017602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im Jahre auf den Thingstät</w:t>
      </w:r>
      <w:r w:rsidR="0017602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>ten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zur Gerichtsgemeinde. Dabei hatten sich die Männer mit </w:t>
      </w:r>
      <w:r w:rsidR="00B4311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dem Schwert gegürtet. So war das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r w:rsidRPr="006F17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de-DE"/>
        </w:rPr>
        <w:t>Thing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  <w:r w:rsidR="0017602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gleichzeitig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eine Waffen</w:t>
      </w:r>
      <w:r w:rsidRPr="006F174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softHyphen/>
        <w:t>inspektion.</w:t>
      </w:r>
    </w:p>
    <w:bookmarkEnd w:id="0"/>
    <w:p w:rsidR="0017602B" w:rsidRPr="002E2E3E" w:rsidRDefault="00B43110" w:rsidP="002E2E3E">
      <w:pPr>
        <w:ind w:right="98"/>
        <w:rPr>
          <w:rFonts w:ascii="Times New Roman" w:hAnsi="Times New Roman" w:cs="Times New Roman"/>
          <w:sz w:val="24"/>
        </w:rPr>
      </w:pPr>
      <w:r w:rsidRPr="002E2E3E">
        <w:rPr>
          <w:rFonts w:ascii="Times New Roman" w:hAnsi="Times New Roman" w:cs="Times New Roman"/>
          <w:sz w:val="24"/>
        </w:rPr>
        <w:t>Das</w:t>
      </w:r>
      <w:r w:rsidR="0017602B" w:rsidRPr="002E2E3E">
        <w:rPr>
          <w:rFonts w:ascii="Times New Roman" w:hAnsi="Times New Roman" w:cs="Times New Roman"/>
          <w:sz w:val="24"/>
        </w:rPr>
        <w:t xml:space="preserve"> Thing fand an einem bestimmten Platz statt. Alle Freien waren Thingmannen und mussten an der Versammlung teilnehmen. </w:t>
      </w:r>
    </w:p>
    <w:p w:rsidR="006F1745" w:rsidRPr="002E2E3E" w:rsidRDefault="0017602B" w:rsidP="002E2E3E">
      <w:pPr>
        <w:ind w:right="98"/>
        <w:rPr>
          <w:rFonts w:ascii="Times New Roman" w:hAnsi="Times New Roman" w:cs="Times New Roman"/>
          <w:sz w:val="24"/>
        </w:rPr>
      </w:pPr>
      <w:r w:rsidRPr="002E2E3E">
        <w:rPr>
          <w:rFonts w:ascii="Times New Roman" w:hAnsi="Times New Roman" w:cs="Times New Roman"/>
          <w:sz w:val="24"/>
        </w:rPr>
        <w:t xml:space="preserve">Am Thing richtete der Graf über Leben und Tod. (= Hohes Gericht). Bei Verbrechen auf die nicht die Todesstrafe stand konnte auch der </w:t>
      </w:r>
      <w:proofErr w:type="spellStart"/>
      <w:r w:rsidRPr="002E2E3E">
        <w:rPr>
          <w:rFonts w:ascii="Times New Roman" w:hAnsi="Times New Roman" w:cs="Times New Roman"/>
          <w:sz w:val="24"/>
        </w:rPr>
        <w:t>Huno</w:t>
      </w:r>
      <w:proofErr w:type="spellEnd"/>
      <w:r w:rsidRPr="002E2E3E">
        <w:rPr>
          <w:rFonts w:ascii="Times New Roman" w:hAnsi="Times New Roman" w:cs="Times New Roman"/>
          <w:sz w:val="24"/>
        </w:rPr>
        <w:t>, der Stellvertreter des Grafen richten. (= Niederes Gericht)</w:t>
      </w:r>
    </w:p>
    <w:p w:rsidR="00AF2FD0" w:rsidRDefault="00AF2FD0">
      <w:pPr>
        <w:rPr>
          <w:rFonts w:ascii="Times New Roman" w:hAnsi="Times New Roman" w:cs="Times New Roman"/>
        </w:rPr>
      </w:pPr>
    </w:p>
    <w:p w:rsidR="00AF2FD0" w:rsidRPr="00AF2FD0" w:rsidRDefault="00AF2FD0">
      <w:pPr>
        <w:rPr>
          <w:rFonts w:ascii="Times New Roman" w:hAnsi="Times New Roman" w:cs="Times New Roman"/>
          <w:b/>
        </w:rPr>
      </w:pPr>
      <w:r w:rsidRPr="00AF2FD0">
        <w:rPr>
          <w:rFonts w:ascii="Times New Roman" w:hAnsi="Times New Roman" w:cs="Times New Roman"/>
          <w:b/>
        </w:rPr>
        <w:t>Thing und Landsgemeinde</w:t>
      </w:r>
    </w:p>
    <w:p w:rsidR="00AF2FD0" w:rsidRDefault="00B97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</w:t>
      </w:r>
      <w:r w:rsidR="00AF2FD0">
        <w:rPr>
          <w:rFonts w:ascii="Times New Roman" w:hAnsi="Times New Roman" w:cs="Times New Roman"/>
        </w:rPr>
        <w:t xml:space="preserve"> Thing war wohl das Vorbild für die Landsgemeinden die nach 1200 in den Orten Uri (1231), Schwyz (1294) und Unterwalden (1309) wieder eingeführt wurden. </w:t>
      </w:r>
    </w:p>
    <w:p w:rsidR="003D17B8" w:rsidRDefault="00AF2FD0">
      <w:pPr>
        <w:rPr>
          <w:rFonts w:ascii="Times New Roman" w:hAnsi="Times New Roman" w:cs="Times New Roman"/>
          <w:color w:val="000000"/>
          <w:szCs w:val="18"/>
          <w:lang w:val="de-DE"/>
        </w:rPr>
      </w:pPr>
      <w:r w:rsidRPr="00AF2FD0">
        <w:rPr>
          <w:rFonts w:ascii="Times New Roman" w:hAnsi="Times New Roman" w:cs="Times New Roman"/>
          <w:color w:val="000000"/>
          <w:szCs w:val="18"/>
          <w:lang w:val="de-DE"/>
        </w:rPr>
        <w:t>Die L</w:t>
      </w:r>
      <w:r>
        <w:rPr>
          <w:rFonts w:ascii="Times New Roman" w:hAnsi="Times New Roman" w:cs="Times New Roman"/>
          <w:color w:val="000000"/>
          <w:szCs w:val="18"/>
          <w:lang w:val="de-DE"/>
        </w:rPr>
        <w:t>andesgemeinden</w:t>
      </w:r>
      <w:r w:rsidRPr="00AF2FD0">
        <w:rPr>
          <w:rFonts w:ascii="Times New Roman" w:hAnsi="Times New Roman" w:cs="Times New Roman"/>
          <w:color w:val="000000"/>
          <w:szCs w:val="18"/>
          <w:lang w:val="de-DE"/>
        </w:rPr>
        <w:t xml:space="preserve"> der Innerschweizer Länderorte entstanden aus den Landtagen, den Versammlungen der Gerichtsgemeinden. An den Landtagen hatte der Vogt gerichtet, in reich</w:t>
      </w:r>
      <w:r>
        <w:rPr>
          <w:rFonts w:ascii="Times New Roman" w:hAnsi="Times New Roman" w:cs="Times New Roman"/>
          <w:color w:val="000000"/>
          <w:szCs w:val="18"/>
          <w:lang w:val="de-DE"/>
        </w:rPr>
        <w:t>s</w:t>
      </w:r>
      <w:r w:rsidR="00B97D74">
        <w:rPr>
          <w:rFonts w:ascii="Times New Roman" w:hAnsi="Times New Roman" w:cs="Times New Roman"/>
          <w:color w:val="000000"/>
          <w:szCs w:val="18"/>
          <w:lang w:val="de-DE"/>
        </w:rPr>
        <w:t>unmittelbaren</w:t>
      </w:r>
      <w:r w:rsidRPr="00AF2FD0">
        <w:rPr>
          <w:rFonts w:ascii="Times New Roman" w:hAnsi="Times New Roman" w:cs="Times New Roman"/>
          <w:color w:val="000000"/>
          <w:szCs w:val="18"/>
          <w:lang w:val="de-DE"/>
        </w:rPr>
        <w:t xml:space="preserve"> Gebieten der Reichsvogt, als Vertreter des Grafen. </w:t>
      </w:r>
      <w:r>
        <w:rPr>
          <w:rFonts w:ascii="Times New Roman" w:hAnsi="Times New Roman" w:cs="Times New Roman"/>
          <w:color w:val="000000"/>
          <w:szCs w:val="18"/>
          <w:lang w:val="de-DE"/>
        </w:rPr>
        <w:t>Die al</w:t>
      </w:r>
      <w:r w:rsidR="003D17B8">
        <w:rPr>
          <w:rFonts w:ascii="Times New Roman" w:hAnsi="Times New Roman" w:cs="Times New Roman"/>
          <w:color w:val="000000"/>
          <w:szCs w:val="18"/>
          <w:lang w:val="de-DE"/>
        </w:rPr>
        <w:t>ten O</w:t>
      </w:r>
      <w:r>
        <w:rPr>
          <w:rFonts w:ascii="Times New Roman" w:hAnsi="Times New Roman" w:cs="Times New Roman"/>
          <w:color w:val="000000"/>
          <w:szCs w:val="18"/>
          <w:lang w:val="de-DE"/>
        </w:rPr>
        <w:t>rte der Eidgenossenschaft übernahmen nun diese Gerichtshoheit</w:t>
      </w:r>
      <w:r w:rsidRPr="00AF2FD0">
        <w:rPr>
          <w:rFonts w:ascii="Times New Roman" w:hAnsi="Times New Roman" w:cs="Times New Roman"/>
          <w:color w:val="000000"/>
          <w:szCs w:val="18"/>
          <w:lang w:val="de-DE"/>
        </w:rPr>
        <w:t xml:space="preserve">. An die Stelle des Vogtes trat ein Ammann. </w:t>
      </w:r>
      <w:r>
        <w:rPr>
          <w:rFonts w:ascii="Times New Roman" w:hAnsi="Times New Roman" w:cs="Times New Roman"/>
          <w:color w:val="000000"/>
          <w:szCs w:val="18"/>
          <w:lang w:val="de-DE"/>
        </w:rPr>
        <w:t>Und a</w:t>
      </w:r>
      <w:r w:rsidRPr="00AF2FD0">
        <w:rPr>
          <w:rFonts w:ascii="Times New Roman" w:hAnsi="Times New Roman" w:cs="Times New Roman"/>
          <w:color w:val="000000"/>
          <w:szCs w:val="18"/>
          <w:lang w:val="de-DE"/>
        </w:rPr>
        <w:t>us d</w:t>
      </w:r>
      <w:r>
        <w:rPr>
          <w:rFonts w:ascii="Times New Roman" w:hAnsi="Times New Roman" w:cs="Times New Roman"/>
          <w:color w:val="000000"/>
          <w:szCs w:val="18"/>
          <w:lang w:val="de-DE"/>
        </w:rPr>
        <w:t>ies</w:t>
      </w:r>
      <w:r w:rsidRPr="00AF2FD0">
        <w:rPr>
          <w:rFonts w:ascii="Times New Roman" w:hAnsi="Times New Roman" w:cs="Times New Roman"/>
          <w:color w:val="000000"/>
          <w:szCs w:val="18"/>
          <w:lang w:val="de-DE"/>
        </w:rPr>
        <w:t xml:space="preserve">er Gerichtstagung des </w:t>
      </w:r>
      <w:r>
        <w:rPr>
          <w:rFonts w:ascii="Times New Roman" w:hAnsi="Times New Roman" w:cs="Times New Roman"/>
          <w:color w:val="000000"/>
          <w:szCs w:val="18"/>
          <w:lang w:val="de-DE"/>
        </w:rPr>
        <w:t>Landammans entstand dann die Landsgemeinde</w:t>
      </w:r>
      <w:r w:rsidRPr="00AF2FD0">
        <w:rPr>
          <w:rFonts w:ascii="Times New Roman" w:hAnsi="Times New Roman" w:cs="Times New Roman"/>
          <w:color w:val="000000"/>
          <w:szCs w:val="18"/>
          <w:lang w:val="de-DE"/>
        </w:rPr>
        <w:t>, eine Versammlung, die auch wählte, ver</w:t>
      </w:r>
      <w:r>
        <w:rPr>
          <w:rFonts w:ascii="Times New Roman" w:hAnsi="Times New Roman" w:cs="Times New Roman"/>
          <w:color w:val="000000"/>
          <w:szCs w:val="18"/>
          <w:lang w:val="de-DE"/>
        </w:rPr>
        <w:t>waltete und Recht setzte. Die Landsgemeinden</w:t>
      </w:r>
      <w:r w:rsidRPr="00AF2FD0">
        <w:rPr>
          <w:rFonts w:ascii="Times New Roman" w:hAnsi="Times New Roman" w:cs="Times New Roman"/>
          <w:color w:val="000000"/>
          <w:szCs w:val="18"/>
          <w:lang w:val="de-DE"/>
        </w:rPr>
        <w:t xml:space="preserve"> fanden oft an den früheren Gerichtsstätten </w:t>
      </w:r>
      <w:r w:rsidR="003D17B8">
        <w:rPr>
          <w:rFonts w:ascii="Times New Roman" w:hAnsi="Times New Roman" w:cs="Times New Roman"/>
          <w:color w:val="000000"/>
          <w:szCs w:val="18"/>
          <w:lang w:val="de-DE"/>
        </w:rPr>
        <w:t>(</w:t>
      </w:r>
      <w:r>
        <w:rPr>
          <w:rFonts w:ascii="Times New Roman" w:hAnsi="Times New Roman" w:cs="Times New Roman"/>
          <w:color w:val="000000"/>
          <w:szCs w:val="18"/>
          <w:lang w:val="de-DE"/>
        </w:rPr>
        <w:t>des Thing</w:t>
      </w:r>
      <w:r w:rsidR="003D17B8">
        <w:rPr>
          <w:rFonts w:ascii="Times New Roman" w:hAnsi="Times New Roman" w:cs="Times New Roman"/>
          <w:color w:val="000000"/>
          <w:szCs w:val="18"/>
          <w:lang w:val="de-DE"/>
        </w:rPr>
        <w:t>s)</w:t>
      </w:r>
      <w:r>
        <w:rPr>
          <w:rFonts w:ascii="Times New Roman" w:hAnsi="Times New Roman" w:cs="Times New Roman"/>
          <w:color w:val="000000"/>
          <w:szCs w:val="18"/>
          <w:lang w:val="de-DE"/>
        </w:rPr>
        <w:t xml:space="preserve"> </w:t>
      </w:r>
      <w:r w:rsidRPr="00AF2FD0">
        <w:rPr>
          <w:rFonts w:ascii="Times New Roman" w:hAnsi="Times New Roman" w:cs="Times New Roman"/>
          <w:color w:val="000000"/>
          <w:szCs w:val="18"/>
          <w:lang w:val="de-DE"/>
        </w:rPr>
        <w:t>statt.</w:t>
      </w:r>
    </w:p>
    <w:p w:rsidR="003D17B8" w:rsidRDefault="003D17B8">
      <w:pPr>
        <w:rPr>
          <w:rFonts w:ascii="Times New Roman" w:hAnsi="Times New Roman" w:cs="Times New Roman"/>
          <w:color w:val="000000"/>
          <w:szCs w:val="18"/>
          <w:lang w:val="de-DE"/>
        </w:rPr>
      </w:pPr>
    </w:p>
    <w:p w:rsidR="00B43110" w:rsidRPr="002E2E3E" w:rsidRDefault="003D17B8">
      <w:pPr>
        <w:rPr>
          <w:rFonts w:ascii="Verdana" w:hAnsi="Verdana"/>
          <w:color w:val="000000"/>
          <w:sz w:val="18"/>
          <w:szCs w:val="18"/>
          <w:lang w:val="de-DE"/>
        </w:rPr>
      </w:pPr>
      <w:r w:rsidRPr="002E2E3E">
        <w:rPr>
          <w:rFonts w:ascii="Times New Roman" w:hAnsi="Times New Roman" w:cs="Times New Roman"/>
          <w:color w:val="000000"/>
          <w:szCs w:val="18"/>
          <w:lang w:val="de-DE"/>
        </w:rPr>
        <w:t>(Quelle: Historisches Lexikon der Schweiz – Autor: Hans Stadler</w:t>
      </w:r>
      <w:r w:rsidRPr="002E2E3E">
        <w:rPr>
          <w:rFonts w:ascii="Times New Roman" w:hAnsi="Times New Roman" w:cs="Times New Roman"/>
          <w:color w:val="000000"/>
          <w:szCs w:val="18"/>
          <w:lang w:val="de-DE"/>
        </w:rPr>
        <w:br/>
      </w:r>
      <w:r w:rsidRPr="002E2E3E">
        <w:rPr>
          <w:rFonts w:ascii="Verdana" w:hAnsi="Verdana"/>
          <w:color w:val="000000"/>
          <w:sz w:val="18"/>
          <w:szCs w:val="18"/>
          <w:lang w:val="de-DE"/>
        </w:rPr>
        <w:t>URL: http://www.hls-dhs-dss.ch/textes/d/D10239.php)</w:t>
      </w:r>
    </w:p>
    <w:sectPr w:rsidR="00B43110" w:rsidRPr="002E2E3E" w:rsidSect="0063047E">
      <w:headerReference w:type="default" r:id="rId7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7E" w:rsidRDefault="0063047E" w:rsidP="0063047E">
      <w:r>
        <w:separator/>
      </w:r>
    </w:p>
  </w:endnote>
  <w:endnote w:type="continuationSeparator" w:id="0">
    <w:p w:rsidR="0063047E" w:rsidRDefault="0063047E" w:rsidP="006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7E" w:rsidRDefault="0063047E" w:rsidP="0063047E">
      <w:r>
        <w:separator/>
      </w:r>
    </w:p>
  </w:footnote>
  <w:footnote w:type="continuationSeparator" w:id="0">
    <w:p w:rsidR="0063047E" w:rsidRDefault="0063047E" w:rsidP="0063047E">
      <w:r>
        <w:continuationSeparator/>
      </w:r>
    </w:p>
  </w:footnote>
  <w:footnote w:id="1">
    <w:p w:rsidR="0017602B" w:rsidRDefault="006F1745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r w:rsidRPr="00AF2FD0">
        <w:rPr>
          <w:i/>
        </w:rPr>
        <w:t>Merowinger</w:t>
      </w:r>
      <w:r>
        <w:t xml:space="preserve"> </w:t>
      </w:r>
      <w:r w:rsidR="00AF2FD0">
        <w:t>nannte man</w:t>
      </w:r>
      <w:r>
        <w:t xml:space="preserve"> die Familie von </w:t>
      </w:r>
      <w:proofErr w:type="spellStart"/>
      <w:r>
        <w:t>Chlodwig</w:t>
      </w:r>
      <w:proofErr w:type="spellEnd"/>
      <w:r>
        <w:t xml:space="preserve"> und seiner Nachkommen. </w:t>
      </w:r>
      <w:r>
        <w:br/>
        <w:t xml:space="preserve">Der Name stammt von einem Vorfahren </w:t>
      </w:r>
      <w:proofErr w:type="spellStart"/>
      <w:r>
        <w:t>Chlodwigs</w:t>
      </w:r>
      <w:proofErr w:type="spellEnd"/>
      <w:r>
        <w:t xml:space="preserve">, der </w:t>
      </w:r>
      <w:proofErr w:type="spellStart"/>
      <w:r>
        <w:t>Merobaudes</w:t>
      </w:r>
      <w:proofErr w:type="spellEnd"/>
      <w:r>
        <w:t xml:space="preserve"> hiess. </w:t>
      </w:r>
      <w:proofErr w:type="spellStart"/>
      <w:r>
        <w:t>Mero</w:t>
      </w:r>
      <w:proofErr w:type="spellEnd"/>
      <w:r>
        <w:t xml:space="preserve"> war die Kurzform seines Namens und </w:t>
      </w:r>
      <w:proofErr w:type="spellStart"/>
      <w:r>
        <w:t>Mero-wiga</w:t>
      </w:r>
      <w:proofErr w:type="spellEnd"/>
      <w:r>
        <w:t xml:space="preserve"> oder </w:t>
      </w:r>
      <w:proofErr w:type="spellStart"/>
      <w:r>
        <w:t>Mero-wech</w:t>
      </w:r>
      <w:proofErr w:type="spellEnd"/>
      <w:r>
        <w:t xml:space="preserve"> bedeutete </w:t>
      </w:r>
      <w:proofErr w:type="spellStart"/>
      <w:r w:rsidRPr="006F1745">
        <w:rPr>
          <w:i/>
        </w:rPr>
        <w:t>Mero</w:t>
      </w:r>
      <w:proofErr w:type="spellEnd"/>
      <w:r w:rsidRPr="006F1745">
        <w:rPr>
          <w:i/>
        </w:rPr>
        <w:t xml:space="preserve"> der Kämpfer</w:t>
      </w:r>
      <w:r w:rsidR="0017602B">
        <w:rPr>
          <w:i/>
        </w:rPr>
        <w:t xml:space="preserve"> </w:t>
      </w:r>
    </w:p>
    <w:p w:rsidR="0017602B" w:rsidRPr="0017602B" w:rsidRDefault="0017602B">
      <w:pPr>
        <w:pStyle w:val="Funotentext"/>
      </w:pPr>
      <w:r w:rsidRPr="0017602B">
        <w:rPr>
          <w:i/>
        </w:rPr>
        <w:t>(</w:t>
      </w:r>
      <w:r w:rsidRPr="00AF2FD0">
        <w:t xml:space="preserve">Quelle: </w:t>
      </w:r>
      <w:r w:rsidRPr="0017602B">
        <w:t>Johannes Hopes : Reallexikon der germanischen Altertumskunde</w:t>
      </w:r>
      <w:r>
        <w:t>. 2001)</w:t>
      </w:r>
    </w:p>
  </w:footnote>
  <w:footnote w:id="2">
    <w:p w:rsidR="0077031E" w:rsidRDefault="0077031E">
      <w:pPr>
        <w:pStyle w:val="Funotentext"/>
      </w:pPr>
      <w:r>
        <w:rPr>
          <w:rStyle w:val="Funotenzeichen"/>
        </w:rPr>
        <w:footnoteRef/>
      </w:r>
      <w:r>
        <w:t xml:space="preserve"> Gau (lateinisch </w:t>
      </w:r>
      <w:proofErr w:type="spellStart"/>
      <w:r w:rsidRPr="0077031E">
        <w:rPr>
          <w:i/>
        </w:rPr>
        <w:t>pagus</w:t>
      </w:r>
      <w:proofErr w:type="spellEnd"/>
      <w:r>
        <w:t xml:space="preserve">) war die Bezeichnung einzelner natürlicher Landschaften. Später </w:t>
      </w:r>
      <w:r w:rsidR="00AF2FD0">
        <w:t xml:space="preserve">(6. – 10. Jh.) </w:t>
      </w:r>
      <w:r>
        <w:t>bezeichnete ein Gau das Herrschaftsgebiet einer einzelnen adligen Familie.</w:t>
      </w:r>
    </w:p>
  </w:footnote>
  <w:footnote w:id="3">
    <w:p w:rsidR="006F1745" w:rsidRPr="0077031E" w:rsidRDefault="006F1745">
      <w:pPr>
        <w:pStyle w:val="Funotentext"/>
      </w:pPr>
      <w:r>
        <w:rPr>
          <w:rStyle w:val="Funotenzeichen"/>
        </w:rPr>
        <w:footnoteRef/>
      </w:r>
      <w:r w:rsidR="0077031E">
        <w:t xml:space="preserve"> Der Fels markierte die Grenze </w:t>
      </w:r>
      <w:r w:rsidR="0077031E">
        <w:sym w:font="Wingdings" w:char="F0E0"/>
      </w:r>
      <w:r w:rsidR="0077031E">
        <w:t xml:space="preserve"> </w:t>
      </w:r>
      <w:r w:rsidR="0077031E" w:rsidRPr="0077031E">
        <w:rPr>
          <w:i/>
        </w:rPr>
        <w:t>Markstein</w:t>
      </w:r>
      <w:r w:rsidR="0077031E">
        <w:t xml:space="preserve"> / schweizerdeutsch: </w:t>
      </w:r>
      <w:proofErr w:type="spellStart"/>
      <w:r w:rsidR="0077031E" w:rsidRPr="0077031E">
        <w:rPr>
          <w:i/>
        </w:rPr>
        <w:t>Marchschtai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7E" w:rsidRDefault="0063047E" w:rsidP="0063047E">
    <w:pPr>
      <w:tabs>
        <w:tab w:val="center" w:pos="4536"/>
        <w:tab w:val="right" w:pos="9072"/>
      </w:tabs>
      <w:rPr>
        <w:rFonts w:ascii="Calibri" w:eastAsia="Times New Roman" w:hAnsi="Calibri" w:cs="Calibri"/>
        <w:color w:val="808080"/>
        <w:szCs w:val="24"/>
        <w:lang w:eastAsia="de-DE"/>
      </w:rPr>
    </w:pPr>
  </w:p>
  <w:p w:rsidR="0063047E" w:rsidRPr="0063047E" w:rsidRDefault="0063047E" w:rsidP="0063047E">
    <w:pPr>
      <w:tabs>
        <w:tab w:val="center" w:pos="4536"/>
        <w:tab w:val="right" w:pos="9072"/>
      </w:tabs>
      <w:rPr>
        <w:rFonts w:ascii="Calibri" w:eastAsia="Times New Roman" w:hAnsi="Calibri" w:cs="Calibri"/>
        <w:color w:val="808080"/>
        <w:szCs w:val="24"/>
        <w:lang w:eastAsia="de-DE"/>
      </w:rPr>
    </w:pPr>
    <w:r w:rsidRPr="0063047E">
      <w:rPr>
        <w:rFonts w:ascii="Calibri" w:eastAsia="Times New Roman" w:hAnsi="Calibri" w:cs="Calibri"/>
        <w:color w:val="808080"/>
        <w:szCs w:val="24"/>
        <w:lang w:eastAsia="de-DE"/>
      </w:rPr>
      <w:t xml:space="preserve">Mittelstufe: </w:t>
    </w:r>
    <w:r>
      <w:rPr>
        <w:rFonts w:ascii="Calibri" w:eastAsia="Times New Roman" w:hAnsi="Calibri" w:cs="Calibri"/>
        <w:color w:val="808080"/>
        <w:szCs w:val="24"/>
        <w:lang w:eastAsia="de-DE"/>
      </w:rPr>
      <w:t>Franken</w:t>
    </w:r>
    <w:r w:rsidRPr="0063047E">
      <w:rPr>
        <w:rFonts w:ascii="Calibri" w:eastAsia="Times New Roman" w:hAnsi="Calibri" w:cs="Calibri"/>
        <w:color w:val="808080"/>
        <w:szCs w:val="24"/>
        <w:lang w:eastAsia="de-DE"/>
      </w:rPr>
      <w:tab/>
      <w:t>Saurer 16/17</w:t>
    </w:r>
    <w:r w:rsidRPr="0063047E">
      <w:rPr>
        <w:rFonts w:ascii="Calibri" w:eastAsia="Times New Roman" w:hAnsi="Calibri" w:cs="Calibri"/>
        <w:color w:val="808080"/>
        <w:szCs w:val="24"/>
        <w:lang w:eastAsia="de-DE"/>
      </w:rPr>
      <w:tab/>
      <w:t>Geschichte</w:t>
    </w:r>
  </w:p>
  <w:p w:rsidR="002E2E3E" w:rsidRDefault="006F1745" w:rsidP="002E2E3E">
    <w:pPr>
      <w:tabs>
        <w:tab w:val="center" w:pos="4536"/>
        <w:tab w:val="right" w:pos="9072"/>
      </w:tabs>
      <w:rPr>
        <w:rFonts w:ascii="Calibri" w:eastAsia="Times New Roman" w:hAnsi="Calibri" w:cs="Calibri"/>
        <w:color w:val="808080"/>
        <w:szCs w:val="24"/>
        <w:lang w:eastAsia="de-DE"/>
      </w:rPr>
    </w:pPr>
    <w:r>
      <w:rPr>
        <w:rFonts w:ascii="Calibri" w:eastAsia="Times New Roman" w:hAnsi="Calibri" w:cs="Calibri"/>
        <w:color w:val="808080"/>
        <w:szCs w:val="24"/>
        <w:lang w:eastAsia="de-DE"/>
      </w:rPr>
      <w:t>Ausbreitung / Eroberungen</w:t>
    </w:r>
    <w:r w:rsidR="0063047E" w:rsidRPr="0063047E">
      <w:rPr>
        <w:rFonts w:ascii="Calibri" w:eastAsia="Times New Roman" w:hAnsi="Calibri" w:cs="Calibri"/>
        <w:color w:val="808080"/>
        <w:szCs w:val="24"/>
        <w:lang w:eastAsia="de-DE"/>
      </w:rPr>
      <w:tab/>
    </w:r>
    <w:r w:rsidR="0063047E">
      <w:rPr>
        <w:rFonts w:ascii="Calibri" w:eastAsia="Times New Roman" w:hAnsi="Calibri" w:cs="Calibri"/>
        <w:color w:val="808080"/>
        <w:szCs w:val="24"/>
        <w:lang w:eastAsia="de-DE"/>
      </w:rPr>
      <w:t>Lesebl</w:t>
    </w:r>
    <w:r w:rsidR="002E2E3E">
      <w:rPr>
        <w:rFonts w:ascii="Calibri" w:eastAsia="Times New Roman" w:hAnsi="Calibri" w:cs="Calibri"/>
        <w:color w:val="808080"/>
        <w:szCs w:val="24"/>
        <w:lang w:eastAsia="de-DE"/>
      </w:rPr>
      <w:t>a</w:t>
    </w:r>
    <w:r w:rsidR="0063047E">
      <w:rPr>
        <w:rFonts w:ascii="Calibri" w:eastAsia="Times New Roman" w:hAnsi="Calibri" w:cs="Calibri"/>
        <w:color w:val="808080"/>
        <w:szCs w:val="24"/>
        <w:lang w:eastAsia="de-DE"/>
      </w:rPr>
      <w:t>tt</w:t>
    </w:r>
  </w:p>
  <w:p w:rsidR="0063047E" w:rsidRPr="002E2E3E" w:rsidRDefault="0063047E" w:rsidP="002E2E3E">
    <w:pPr>
      <w:tabs>
        <w:tab w:val="center" w:pos="4536"/>
        <w:tab w:val="right" w:pos="9072"/>
      </w:tabs>
      <w:rPr>
        <w:color w:val="808080" w:themeColor="background1" w:themeShade="80"/>
        <w:sz w:val="18"/>
      </w:rPr>
    </w:pPr>
    <w:r w:rsidRPr="0063047E">
      <w:rPr>
        <w:color w:val="808080" w:themeColor="background1" w:themeShade="80"/>
        <w:sz w:val="20"/>
      </w:rPr>
      <w:tab/>
    </w:r>
    <w:r w:rsidRPr="002E2E3E">
      <w:rPr>
        <w:color w:val="808080" w:themeColor="background1" w:themeShade="80"/>
        <w:sz w:val="18"/>
      </w:rPr>
      <w:t xml:space="preserve">Quelle: Steiger, Werner + Dr. Arnold </w:t>
    </w:r>
    <w:proofErr w:type="spellStart"/>
    <w:r w:rsidRPr="002E2E3E">
      <w:rPr>
        <w:color w:val="808080" w:themeColor="background1" w:themeShade="80"/>
        <w:sz w:val="18"/>
      </w:rPr>
      <w:t>Jaggi</w:t>
    </w:r>
    <w:proofErr w:type="spellEnd"/>
    <w:r w:rsidRPr="002E2E3E">
      <w:rPr>
        <w:color w:val="808080" w:themeColor="background1" w:themeShade="80"/>
        <w:sz w:val="18"/>
      </w:rPr>
      <w:t xml:space="preserve">. </w:t>
    </w:r>
    <w:r w:rsidRPr="002E2E3E">
      <w:rPr>
        <w:i/>
        <w:color w:val="808080" w:themeColor="background1" w:themeShade="80"/>
        <w:sz w:val="18"/>
      </w:rPr>
      <w:t>Geschichte der Schweiz Bd. I.</w:t>
    </w:r>
    <w:r w:rsidRPr="002E2E3E">
      <w:rPr>
        <w:color w:val="808080" w:themeColor="background1" w:themeShade="80"/>
        <w:sz w:val="18"/>
      </w:rPr>
      <w:t xml:space="preserve"> </w:t>
    </w:r>
  </w:p>
  <w:p w:rsidR="0063047E" w:rsidRPr="002E2E3E" w:rsidRDefault="0063047E" w:rsidP="0063047E">
    <w:pPr>
      <w:pStyle w:val="Kopfzeile"/>
      <w:rPr>
        <w:color w:val="808080" w:themeColor="background1" w:themeShade="80"/>
        <w:sz w:val="18"/>
      </w:rPr>
    </w:pPr>
    <w:r w:rsidRPr="002E2E3E">
      <w:rPr>
        <w:color w:val="808080" w:themeColor="background1" w:themeShade="80"/>
        <w:sz w:val="18"/>
      </w:rPr>
      <w:t xml:space="preserve"> </w:t>
    </w:r>
    <w:r w:rsidRPr="002E2E3E">
      <w:rPr>
        <w:color w:val="808080" w:themeColor="background1" w:themeShade="80"/>
        <w:sz w:val="18"/>
      </w:rPr>
      <w:tab/>
      <w:t>Kantonaler Lehrmittelverlag St. Gallen 1975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7E"/>
    <w:rsid w:val="0017602B"/>
    <w:rsid w:val="002E2E3E"/>
    <w:rsid w:val="002E3C34"/>
    <w:rsid w:val="003D17B8"/>
    <w:rsid w:val="0063047E"/>
    <w:rsid w:val="006F1745"/>
    <w:rsid w:val="0077031E"/>
    <w:rsid w:val="007845EF"/>
    <w:rsid w:val="00AF2FD0"/>
    <w:rsid w:val="00B23D66"/>
    <w:rsid w:val="00B43110"/>
    <w:rsid w:val="00B97D74"/>
    <w:rsid w:val="00DE321F"/>
    <w:rsid w:val="00EB1A75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19D9B6AB-5E13-4894-9C94-F8FEBA44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5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47E"/>
  </w:style>
  <w:style w:type="paragraph" w:styleId="Fuzeile">
    <w:name w:val="footer"/>
    <w:basedOn w:val="Standard"/>
    <w:link w:val="FuzeileZchn"/>
    <w:uiPriority w:val="99"/>
    <w:unhideWhenUsed/>
    <w:rsid w:val="006304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47E"/>
  </w:style>
  <w:style w:type="paragraph" w:styleId="Funotentext">
    <w:name w:val="footnote text"/>
    <w:basedOn w:val="Standard"/>
    <w:link w:val="FunotentextZchn"/>
    <w:uiPriority w:val="99"/>
    <w:semiHidden/>
    <w:unhideWhenUsed/>
    <w:rsid w:val="006F174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17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174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1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0CA6-9222-4813-8CE6-590E58A9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tsaurer2</dc:creator>
  <cp:lastModifiedBy>Be.Saurer</cp:lastModifiedBy>
  <cp:revision>6</cp:revision>
  <dcterms:created xsi:type="dcterms:W3CDTF">2016-08-20T12:14:00Z</dcterms:created>
  <dcterms:modified xsi:type="dcterms:W3CDTF">2017-04-07T13:19:00Z</dcterms:modified>
</cp:coreProperties>
</file>